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7 - </w:t>
      </w:r>
      <w:r w:rsidRPr="007E65B0">
        <w:rPr>
          <w:sz w:val="28"/>
          <w:szCs w:val="28"/>
        </w:rPr>
        <w:t>Автоматические тепловые защиты это автоматические защитные устройства (АЗУ), обслуживающие тепловую часть электрической станции.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АЗУ устанавливаются для контроля наиболее ответственных параметров, чрезмерное отклонение которых от заданных значений ведет к нарушению нормального технологического процесса и повреждению оборудования.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Большинство современных АЗУ представляют собой системы непрямого действия, включающие отдельные, связанные между собой элементы: первичные приборы-датчики, снабженные электрическими контактами, усилительные устройства, промежуточные реле, устройство пуска и останова исполнительных механизмов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Практически всегда действие тепловой защиты увязывается с работой логических систем управления, которые  позволяют выключать и отключать электрические пусковые устройства вспомогательных механизмов в определенной последовательности – «по цепочке».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По степени воздействия на защищаемые установки защитные устройства разделяются на основные (главные) и местные (локальные).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К основным относятся защитные устройства, срабатывание которых приводит к останову котла или электроблока в целом или к глубокому снижению их нагрузки.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Локальные защиты предотвращают развитие аварии без останова основных агрегатов.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 качестве источников электрического питания защитных устройств на ТЭС служат аккумуляторные батареи с напряжением на выходе 220 В, которые обеспечивают электроснабжение цепей защиты при авариях, сопровождаемых полной потерей напряжения переменного тока в системе собственных нужд. Кроме того, питающее напряжение подводится к панелям защиты по двум независимым линиям, одна из которых является резервной. При этом сигнал об отклонении напряжения питания на каждую из групп защит автоматически передается на щит управления с помощью специальных устройств (световое табло, звуковой сигнал).</w:t>
      </w:r>
    </w:p>
    <w:p w:rsidR="00916C66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Мерой надежности тепловых защит служит среднее время наработки на один отказ или среднее время работы оборудования между двумя отказами</w:t>
      </w:r>
      <w:r>
        <w:rPr>
          <w:sz w:val="28"/>
          <w:szCs w:val="28"/>
        </w:rPr>
        <w:t>:</w:t>
      </w:r>
    </w:p>
    <w:p w:rsidR="00916C66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7216"/>
        <w:gridCol w:w="2355"/>
      </w:tblGrid>
      <w:tr w:rsidR="00916C66" w:rsidRPr="00D27CC3" w:rsidTr="00277499">
        <w:tc>
          <w:tcPr>
            <w:tcW w:w="7308" w:type="dxa"/>
            <w:shd w:val="clear" w:color="auto" w:fill="auto"/>
          </w:tcPr>
          <w:p w:rsidR="00916C66" w:rsidRPr="00D27CC3" w:rsidRDefault="00916C66" w:rsidP="00277499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D27CC3">
              <w:rPr>
                <w:position w:val="-32"/>
                <w:sz w:val="28"/>
                <w:szCs w:val="28"/>
              </w:rPr>
              <w:object w:dxaOrig="1280" w:dyaOrig="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.65pt;height:39.35pt" o:ole="">
                  <v:imagedata r:id="rId5" o:title=""/>
                </v:shape>
                <o:OLEObject Type="Embed" ProgID="Equation.3" ShapeID="_x0000_i1025" DrawAspect="Content" ObjectID="_1661515845" r:id="rId6"/>
              </w:object>
            </w:r>
          </w:p>
        </w:tc>
        <w:tc>
          <w:tcPr>
            <w:tcW w:w="2381" w:type="dxa"/>
            <w:shd w:val="clear" w:color="auto" w:fill="auto"/>
          </w:tcPr>
          <w:p w:rsidR="00916C66" w:rsidRPr="00D27CC3" w:rsidRDefault="00916C66" w:rsidP="00277499">
            <w:pPr>
              <w:tabs>
                <w:tab w:val="left" w:pos="360"/>
              </w:tabs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>(4.1)</w:t>
            </w:r>
          </w:p>
        </w:tc>
      </w:tr>
    </w:tbl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</w:p>
    <w:p w:rsidR="00916C66" w:rsidRDefault="00916C66" w:rsidP="00916C66">
      <w:pPr>
        <w:tabs>
          <w:tab w:val="left" w:pos="360"/>
        </w:tabs>
        <w:jc w:val="both"/>
        <w:rPr>
          <w:sz w:val="28"/>
          <w:szCs w:val="28"/>
        </w:rPr>
      </w:pPr>
      <w:r w:rsidRPr="007E65B0">
        <w:rPr>
          <w:sz w:val="28"/>
          <w:szCs w:val="28"/>
        </w:rPr>
        <w:t xml:space="preserve">где </w:t>
      </w:r>
      <w:r w:rsidRPr="007E65B0">
        <w:rPr>
          <w:sz w:val="28"/>
          <w:szCs w:val="28"/>
          <w:lang w:val="en-US"/>
        </w:rPr>
        <w:t>t</w:t>
      </w:r>
      <w:r w:rsidRPr="007E65B0">
        <w:rPr>
          <w:sz w:val="28"/>
          <w:szCs w:val="28"/>
          <w:vertAlign w:val="subscript"/>
          <w:lang w:val="en-US"/>
        </w:rPr>
        <w:t>i</w:t>
      </w:r>
      <w:r w:rsidRPr="007E65B0">
        <w:rPr>
          <w:sz w:val="28"/>
          <w:szCs w:val="28"/>
        </w:rPr>
        <w:t xml:space="preserve">– время наработки на один отказ, </w:t>
      </w:r>
      <w:r w:rsidRPr="007E65B0">
        <w:rPr>
          <w:sz w:val="28"/>
          <w:szCs w:val="28"/>
          <w:lang w:val="en-US"/>
        </w:rPr>
        <w:t>n</w:t>
      </w:r>
      <w:r w:rsidRPr="007E65B0">
        <w:rPr>
          <w:sz w:val="28"/>
          <w:szCs w:val="28"/>
        </w:rPr>
        <w:t xml:space="preserve"> – число отказов.</w:t>
      </w:r>
    </w:p>
    <w:p w:rsidR="00916C66" w:rsidRPr="007E65B0" w:rsidRDefault="00916C66" w:rsidP="00916C66">
      <w:pPr>
        <w:tabs>
          <w:tab w:val="left" w:pos="360"/>
        </w:tabs>
        <w:jc w:val="both"/>
        <w:rPr>
          <w:sz w:val="28"/>
          <w:szCs w:val="28"/>
        </w:rPr>
      </w:pP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 соответствии с нормативными требованиями τ</w:t>
      </w:r>
      <w:r w:rsidRPr="007E65B0">
        <w:rPr>
          <w:sz w:val="28"/>
          <w:szCs w:val="28"/>
          <w:vertAlign w:val="subscript"/>
        </w:rPr>
        <w:t>ср</w:t>
      </w:r>
      <w:r w:rsidRPr="007E65B0">
        <w:rPr>
          <w:sz w:val="28"/>
          <w:szCs w:val="28"/>
        </w:rPr>
        <w:t xml:space="preserve"> при проектировании систем защит должно быть не ниже 200 тыс. часов, но по опытным данным для реальных защит τ</w:t>
      </w:r>
      <w:r w:rsidRPr="007E65B0">
        <w:rPr>
          <w:sz w:val="28"/>
          <w:szCs w:val="28"/>
          <w:vertAlign w:val="subscript"/>
        </w:rPr>
        <w:t>ср</w:t>
      </w:r>
      <w:r w:rsidRPr="007E65B0">
        <w:rPr>
          <w:sz w:val="28"/>
          <w:szCs w:val="28"/>
        </w:rPr>
        <w:t xml:space="preserve"> пока не превышает 5</w:t>
      </w:r>
      <w:r>
        <w:rPr>
          <w:sz w:val="28"/>
          <w:szCs w:val="28"/>
        </w:rPr>
        <w:t xml:space="preserve"> ÷ </w:t>
      </w:r>
      <w:r w:rsidRPr="007E65B0">
        <w:rPr>
          <w:sz w:val="28"/>
          <w:szCs w:val="28"/>
        </w:rPr>
        <w:t>10 тыс. часов.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  <w:u w:val="single"/>
        </w:rPr>
      </w:pPr>
      <w:r w:rsidRPr="00C057DF">
        <w:rPr>
          <w:i/>
          <w:sz w:val="28"/>
          <w:szCs w:val="28"/>
        </w:rPr>
        <w:lastRenderedPageBreak/>
        <w:t>Защита от повышения давления пара.</w:t>
      </w:r>
      <w:r w:rsidRPr="007E65B0">
        <w:rPr>
          <w:sz w:val="28"/>
          <w:szCs w:val="28"/>
        </w:rPr>
        <w:t xml:space="preserve"> Паровой котел на случай повышения давления пара сверх допустимого снабжается предохранительными клапанами, действующими по принципу регуляторов давления «до себя» (управляющий сигнал на регулятор выбирается до регулирующего органа).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Клапаны устанавливаются на выходном коллекторе пароперегревателя и барабане котельной установки. Суммарная пропускная способность этих клапанов выбирается с некоторым запасом по отношению к максимальной паропроизводительности котла на случай отказа части клапанов.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этом клапаны, установленные на выходном коллекторе, должны открываться раньше барабанных и при меньшем по абсолютному значению давления пара на 0,2</w:t>
      </w:r>
      <w:r>
        <w:rPr>
          <w:sz w:val="28"/>
          <w:szCs w:val="28"/>
        </w:rPr>
        <w:t xml:space="preserve"> ÷ </w:t>
      </w:r>
      <w:r w:rsidRPr="007E65B0">
        <w:rPr>
          <w:sz w:val="28"/>
          <w:szCs w:val="28"/>
        </w:rPr>
        <w:t>0,3 МПа, с тем чтобы обеспечить охлаждение змеевиков пароперегревателя паром при наличии факела в топке.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На современных паровых котлах и паровых коллекторах в комплекте предохранительных клапанов используется специальные импульсные устройства – импульсные клапаны (</w:t>
      </w:r>
      <w:r>
        <w:rPr>
          <w:sz w:val="28"/>
          <w:szCs w:val="28"/>
        </w:rPr>
        <w:t xml:space="preserve">см. </w:t>
      </w:r>
      <w:r w:rsidRPr="007E65B0">
        <w:rPr>
          <w:sz w:val="28"/>
          <w:szCs w:val="28"/>
        </w:rPr>
        <w:t>рис</w:t>
      </w:r>
      <w:r>
        <w:rPr>
          <w:sz w:val="28"/>
          <w:szCs w:val="28"/>
        </w:rPr>
        <w:t>унок 15</w:t>
      </w:r>
      <w:r w:rsidRPr="007E65B0">
        <w:rPr>
          <w:sz w:val="28"/>
          <w:szCs w:val="28"/>
        </w:rPr>
        <w:t>).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нормальном давлении импульсный клапан (1) закрыт под давлением груза (2). Главный клапан (4) плотно закрыт под давлением пара в коллекторе. При повышении давления пара в коллекторе пароперегревателя сверх допустимого сначала открывается импульсный клапан (1) за счет того, что сила давления пара на запорную тарелку клапана превышает силу давления на нее со стороны груза (2).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</w:p>
    <w:p w:rsidR="00916C66" w:rsidRPr="007E65B0" w:rsidRDefault="00916C66" w:rsidP="00916C66">
      <w:pPr>
        <w:tabs>
          <w:tab w:val="left" w:pos="360"/>
        </w:tabs>
        <w:ind w:firstLine="720"/>
        <w:jc w:val="center"/>
        <w:rPr>
          <w:sz w:val="28"/>
          <w:szCs w:val="28"/>
        </w:rPr>
      </w:pPr>
      <w:r w:rsidRPr="007E65B0">
        <w:rPr>
          <w:noProof/>
          <w:sz w:val="28"/>
          <w:szCs w:val="28"/>
        </w:rPr>
        <w:drawing>
          <wp:inline distT="0" distB="0" distL="0" distR="0">
            <wp:extent cx="3514725" cy="2152650"/>
            <wp:effectExtent l="0" t="0" r="9525" b="0"/>
            <wp:docPr id="24" name="Рисунок 24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6" descr="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C66" w:rsidRDefault="00916C66" w:rsidP="00916C66">
      <w:pPr>
        <w:tabs>
          <w:tab w:val="left" w:pos="360"/>
        </w:tabs>
        <w:ind w:firstLine="720"/>
        <w:jc w:val="center"/>
        <w:rPr>
          <w:sz w:val="28"/>
          <w:szCs w:val="28"/>
        </w:rPr>
      </w:pPr>
    </w:p>
    <w:p w:rsidR="00916C66" w:rsidRDefault="00916C66" w:rsidP="00916C66">
      <w:pPr>
        <w:tabs>
          <w:tab w:val="left" w:pos="360"/>
        </w:tabs>
        <w:ind w:firstLine="720"/>
        <w:jc w:val="center"/>
        <w:rPr>
          <w:sz w:val="24"/>
          <w:szCs w:val="24"/>
        </w:rPr>
      </w:pPr>
      <w:r w:rsidRPr="00C057DF">
        <w:rPr>
          <w:sz w:val="24"/>
          <w:szCs w:val="24"/>
        </w:rPr>
        <w:t xml:space="preserve">1 – импульсный клапан, 2 – груз, 3 – электромагнит, </w:t>
      </w:r>
    </w:p>
    <w:p w:rsidR="00916C66" w:rsidRPr="00C057DF" w:rsidRDefault="00916C66" w:rsidP="00916C66">
      <w:pPr>
        <w:tabs>
          <w:tab w:val="left" w:pos="360"/>
        </w:tabs>
        <w:ind w:firstLine="720"/>
        <w:jc w:val="center"/>
        <w:rPr>
          <w:sz w:val="24"/>
          <w:szCs w:val="24"/>
        </w:rPr>
      </w:pPr>
      <w:r w:rsidRPr="00C057DF">
        <w:rPr>
          <w:sz w:val="24"/>
          <w:szCs w:val="24"/>
        </w:rPr>
        <w:t>4 – главный предохранительный клапан.</w:t>
      </w:r>
    </w:p>
    <w:p w:rsidR="00916C66" w:rsidRPr="007E65B0" w:rsidRDefault="00916C66" w:rsidP="00916C66">
      <w:pPr>
        <w:tabs>
          <w:tab w:val="left" w:pos="360"/>
        </w:tabs>
        <w:rPr>
          <w:sz w:val="28"/>
          <w:szCs w:val="28"/>
        </w:rPr>
      </w:pPr>
    </w:p>
    <w:p w:rsidR="00916C66" w:rsidRDefault="00916C66" w:rsidP="00916C66">
      <w:pPr>
        <w:tabs>
          <w:tab w:val="left" w:pos="360"/>
        </w:tabs>
        <w:ind w:firstLine="720"/>
        <w:jc w:val="center"/>
        <w:rPr>
          <w:sz w:val="28"/>
          <w:szCs w:val="28"/>
        </w:rPr>
      </w:pPr>
      <w:r w:rsidRPr="007E65B0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Pr="007E65B0">
        <w:rPr>
          <w:sz w:val="28"/>
          <w:szCs w:val="28"/>
        </w:rPr>
        <w:t>15</w:t>
      </w:r>
      <w:r>
        <w:rPr>
          <w:sz w:val="28"/>
          <w:szCs w:val="28"/>
        </w:rPr>
        <w:t xml:space="preserve"> -</w:t>
      </w:r>
      <w:r w:rsidRPr="007E65B0">
        <w:rPr>
          <w:sz w:val="28"/>
          <w:szCs w:val="28"/>
        </w:rPr>
        <w:t xml:space="preserve"> Принципиальная схема импульсного </w:t>
      </w:r>
    </w:p>
    <w:p w:rsidR="00916C66" w:rsidRDefault="00916C66" w:rsidP="00916C66">
      <w:pPr>
        <w:tabs>
          <w:tab w:val="left" w:pos="360"/>
        </w:tabs>
        <w:ind w:firstLine="720"/>
        <w:jc w:val="center"/>
        <w:rPr>
          <w:sz w:val="28"/>
          <w:szCs w:val="28"/>
        </w:rPr>
      </w:pPr>
      <w:r w:rsidRPr="007E65B0">
        <w:rPr>
          <w:sz w:val="28"/>
          <w:szCs w:val="28"/>
        </w:rPr>
        <w:t>предохранительного устройства</w:t>
      </w:r>
    </w:p>
    <w:p w:rsidR="00916C66" w:rsidRPr="007E65B0" w:rsidRDefault="00916C66" w:rsidP="00916C66">
      <w:pPr>
        <w:tabs>
          <w:tab w:val="left" w:pos="360"/>
        </w:tabs>
        <w:ind w:firstLine="720"/>
        <w:jc w:val="center"/>
        <w:rPr>
          <w:sz w:val="28"/>
          <w:szCs w:val="28"/>
        </w:rPr>
      </w:pP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Кроме того, импульсный клапан (1) может быть открыт под действием усилия электромагнита (3), который действует по сигналу от электроконтактного манометра.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 xml:space="preserve">При открытии импульсного клапана (1) давление пара над поршнем главного клапана (4) возрастает по сравнению с давлением в коллекторе, и </w:t>
      </w:r>
      <w:r w:rsidRPr="007E65B0">
        <w:rPr>
          <w:sz w:val="28"/>
          <w:szCs w:val="28"/>
        </w:rPr>
        <w:lastRenderedPageBreak/>
        <w:t>поршень начнет смещаться вниз, открывая главный клапан (4). Это вызовет пропуск избыточного пара в атмосферу и восстановление давления пара в коллекторе паропровода до значения, при котором импульсный клапан (1) вновь закроется под действием груза (2) или электромагнита (3).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Прекращение доступа пара со стороны импульсного клапана (1) в надпоршневое пространство главного клапана (4) вызовет его закрытие под действием давления пара в коллекторе.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b/>
          <w:sz w:val="28"/>
          <w:szCs w:val="28"/>
        </w:rPr>
      </w:pPr>
      <w:r w:rsidRPr="00C057DF">
        <w:rPr>
          <w:i/>
          <w:sz w:val="28"/>
          <w:szCs w:val="28"/>
        </w:rPr>
        <w:t>Защита по уровню воды в барабане.</w:t>
      </w:r>
      <w:r w:rsidRPr="007E65B0">
        <w:rPr>
          <w:sz w:val="28"/>
          <w:szCs w:val="28"/>
        </w:rPr>
        <w:t>Упуск уровня и перепитка барабана относится к самым тяжелым авариям на ТЭС. Каждый паровой котел оснащается системой  автоматической защиты от повышения и понижения уровня.Понижение уровня на 100</w:t>
      </w:r>
      <w:r>
        <w:rPr>
          <w:sz w:val="28"/>
          <w:szCs w:val="28"/>
        </w:rPr>
        <w:t xml:space="preserve"> ÷ </w:t>
      </w:r>
      <w:smartTag w:uri="urn:schemas-microsoft-com:office:smarttags" w:element="metricconverter">
        <w:smartTagPr>
          <w:attr w:name="ProductID" w:val="200 мм"/>
        </w:smartTagPr>
        <w:r w:rsidRPr="007E65B0">
          <w:rPr>
            <w:sz w:val="28"/>
            <w:szCs w:val="28"/>
          </w:rPr>
          <w:t>200 мм</w:t>
        </w:r>
      </w:smartTag>
      <w:r w:rsidRPr="007E65B0">
        <w:rPr>
          <w:sz w:val="28"/>
          <w:szCs w:val="28"/>
        </w:rPr>
        <w:t xml:space="preserve"> ниже установленного предела вызывает останов котельной установки – отключаются дутьевые вентиляторы и системы топливоснабжения.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Защита от понижения уровня выполняет одновременно функции защиты от разрыва экранных труб парового котла, так как упуск воды в барабане котла приводит к нарушению питания экранных труб и пережогу их при наличии факела в топке.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 xml:space="preserve">Защита от превышения уровня сверх установки сигнализации по уровню имеет два предела срабатывания. Достижение уровнем первого предела до </w:t>
      </w:r>
      <w:smartTag w:uri="urn:schemas-microsoft-com:office:smarttags" w:element="metricconverter">
        <w:smartTagPr>
          <w:attr w:name="ProductID" w:val="100 мм"/>
        </w:smartTagPr>
        <w:r w:rsidRPr="007E65B0">
          <w:rPr>
            <w:sz w:val="28"/>
            <w:szCs w:val="28"/>
          </w:rPr>
          <w:t>100 мм</w:t>
        </w:r>
      </w:smartTag>
      <w:r w:rsidRPr="007E65B0">
        <w:rPr>
          <w:sz w:val="28"/>
          <w:szCs w:val="28"/>
        </w:rPr>
        <w:t xml:space="preserve"> вызывает открытие запорных задвижек на линии  аварийного сброса воды из барабана. При достижении уровнем второй предельной отметки (до 120-</w:t>
      </w:r>
      <w:smartTag w:uri="urn:schemas-microsoft-com:office:smarttags" w:element="metricconverter">
        <w:smartTagPr>
          <w:attr w:name="ProductID" w:val="150 мм"/>
        </w:smartTagPr>
        <w:r w:rsidRPr="007E65B0">
          <w:rPr>
            <w:sz w:val="28"/>
            <w:szCs w:val="28"/>
          </w:rPr>
          <w:t>150 мм</w:t>
        </w:r>
      </w:smartTag>
      <w:r w:rsidRPr="007E65B0">
        <w:rPr>
          <w:sz w:val="28"/>
          <w:szCs w:val="28"/>
        </w:rPr>
        <w:t>) действие защитных устройств должно привести к останову котла, как и при упуске воды.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Логические схемы защит осуществляют последовательность срабатывания пусковых и отключающих устройств. Так, для срабатывания защиты от повышения уровня в барабане до 2-го установленного значения на защитное устройство должны поступать сигналы датчиков уровня № 1 (</w:t>
      </w:r>
      <w:smartTag w:uri="urn:schemas-microsoft-com:office:smarttags" w:element="metricconverter">
        <w:smartTagPr>
          <w:attr w:name="ProductID" w:val="100 мм"/>
        </w:smartTagPr>
        <w:r w:rsidRPr="007E65B0">
          <w:rPr>
            <w:sz w:val="28"/>
            <w:szCs w:val="28"/>
          </w:rPr>
          <w:t>100 мм</w:t>
        </w:r>
      </w:smartTag>
      <w:r w:rsidRPr="007E65B0">
        <w:rPr>
          <w:sz w:val="28"/>
          <w:szCs w:val="28"/>
        </w:rPr>
        <w:t>) и № 2 (120)</w:t>
      </w:r>
      <w:smartTag w:uri="urn:schemas-microsoft-com:office:smarttags" w:element="metricconverter">
        <w:smartTagPr>
          <w:attr w:name="ProductID" w:val="150 мм"/>
        </w:smartTagPr>
        <w:r w:rsidRPr="007E65B0">
          <w:rPr>
            <w:sz w:val="28"/>
            <w:szCs w:val="28"/>
          </w:rPr>
          <w:t>150 мм</w:t>
        </w:r>
      </w:smartTag>
      <w:r w:rsidRPr="007E65B0">
        <w:rPr>
          <w:sz w:val="28"/>
          <w:szCs w:val="28"/>
        </w:rPr>
        <w:t>). Если сигнал поступает одновременно от двух датчиков, система защиты отключит дутьевой вентилятор и подачу топлива. Останов дутьевого вентилятора и прекращение подачи топлива в топку котельного агрегата должны вызвать закрытие главной паровой задвижки для прекращения доступа пара в котел из общей магистрали с одновременным открытием продувки пароперегревателя и закрытием запорного клапана на линии впрыска собственного конденсата для предотвращения доступа воды в пароохладитель и паровой котел.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b/>
          <w:sz w:val="28"/>
          <w:szCs w:val="28"/>
        </w:rPr>
      </w:pPr>
      <w:r w:rsidRPr="00C057DF">
        <w:rPr>
          <w:i/>
          <w:sz w:val="28"/>
          <w:szCs w:val="28"/>
        </w:rPr>
        <w:t>Защита от потускнения и погасания факела.</w:t>
      </w:r>
      <w:r w:rsidRPr="007E65B0">
        <w:rPr>
          <w:sz w:val="28"/>
          <w:szCs w:val="28"/>
        </w:rPr>
        <w:t>В случае погасания факела в топке подача топлива на котел должна быть прекращена, так как его скопление  может привести к образованию взрывоопасной смеси, одновременно отключаются дутьевые вентиляторы.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Паровые котлы, работающие на пылевидном топливе, дополнительно снабжаются защитой от потускнения факела, воздействующей на подачу резервного топлива - включение газовых горелок или мазутных форсунок при снижении уровня светимости факела.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 xml:space="preserve">Схема защиты содержит реле времени, которое задерживает команды на открытие клапана с электромагнитным приводом на линии резервного </w:t>
      </w:r>
      <w:r w:rsidRPr="007E65B0">
        <w:rPr>
          <w:sz w:val="28"/>
          <w:szCs w:val="28"/>
        </w:rPr>
        <w:lastRenderedPageBreak/>
        <w:t>топлива на 5</w:t>
      </w:r>
      <w:r>
        <w:rPr>
          <w:sz w:val="28"/>
          <w:szCs w:val="28"/>
        </w:rPr>
        <w:t xml:space="preserve"> ÷ </w:t>
      </w:r>
      <w:r w:rsidRPr="007E65B0">
        <w:rPr>
          <w:sz w:val="28"/>
          <w:szCs w:val="28"/>
        </w:rPr>
        <w:t>10с., что необходимо для предотвращения ложных срабатываний в случае кратковременных потускнений (мерцаний) факела.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C057DF">
        <w:rPr>
          <w:i/>
          <w:sz w:val="28"/>
          <w:szCs w:val="28"/>
        </w:rPr>
        <w:t>Защита от понижения температуры первичного перегретого пара.</w:t>
      </w:r>
      <w:r w:rsidRPr="007E65B0">
        <w:rPr>
          <w:sz w:val="28"/>
          <w:szCs w:val="28"/>
        </w:rPr>
        <w:t xml:space="preserve"> Автоматические защитные устройства этого вида выполняют роль защиты от заброса частиц воды в паропровод и проточную часть турбоагрегата.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При понижении  температуры пара до предельного значения сигнал от температурного датчика (термопары) воздействует на останов дутьевого вентилятора и далее на останов котла.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 энергоблоках защита от понижения температуры пара относится к турбине и воздействует на закрытие его стопорного клапана.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Аналогично устроена защита от повышения температуры первичного пара сверх установленного максимально значения.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C057DF">
        <w:rPr>
          <w:i/>
          <w:sz w:val="28"/>
          <w:szCs w:val="28"/>
        </w:rPr>
        <w:t>Защитные устройства мельничных систем парового котла.</w:t>
      </w:r>
      <w:r w:rsidRPr="007E65B0">
        <w:rPr>
          <w:sz w:val="28"/>
          <w:szCs w:val="28"/>
        </w:rPr>
        <w:t xml:space="preserve"> Помимо защит от повышения температуры аэросмеси за шаровой и молотковой мельницами, воздействующих на открытие заслонки на линии присадки холодного воздуха, на мельничных системах предусматривается защитное устройство, действующее на останов мельниц при понижении давления масла в системе смазки подшипников.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Этот сигнал формируется электроконтактным манометром. При падении давления масла до 1-го установленного значения включается резервный масляный насос. При падении давления масла до 2-го установленного значения срабатывает отключающее устройство электропривода мельницы и останавливается питатель сырого угля.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На обоих типах мельниц может быть предусмотрено включение вибраторов на линиях подвода сырого угля при забивании их и обрыве подачи топлива. Отключение вибраторов производится после восстановления подачи топлива или по истечении установленной выдержки времени.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  <w:r w:rsidRPr="007E65B0">
        <w:rPr>
          <w:sz w:val="28"/>
          <w:szCs w:val="28"/>
        </w:rPr>
        <w:t>В системах пылеприготовления с ШБМ при забиваниях циклона предусматривается отключение мельниц.</w:t>
      </w:r>
    </w:p>
    <w:p w:rsidR="00916C66" w:rsidRPr="007E65B0" w:rsidRDefault="00916C66" w:rsidP="00916C66">
      <w:pPr>
        <w:tabs>
          <w:tab w:val="left" w:pos="360"/>
        </w:tabs>
        <w:ind w:firstLine="720"/>
        <w:jc w:val="both"/>
        <w:rPr>
          <w:sz w:val="28"/>
          <w:szCs w:val="28"/>
        </w:rPr>
      </w:pPr>
    </w:p>
    <w:p w:rsidR="00916C66" w:rsidRPr="00E2508F" w:rsidRDefault="00916C66" w:rsidP="00916C66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Вопросы для самоконтроля</w:t>
      </w:r>
    </w:p>
    <w:p w:rsidR="00916C66" w:rsidRDefault="00916C66" w:rsidP="00916C6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 Каковы основные задачи</w:t>
      </w:r>
      <w:r w:rsidRPr="00DF07D4">
        <w:rPr>
          <w:sz w:val="28"/>
          <w:szCs w:val="28"/>
        </w:rPr>
        <w:t xml:space="preserve"> автоматического управления тепловыми процессами</w:t>
      </w:r>
      <w:r>
        <w:rPr>
          <w:sz w:val="28"/>
          <w:szCs w:val="28"/>
        </w:rPr>
        <w:t>?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 Что относится к о</w:t>
      </w:r>
      <w:r w:rsidRPr="00DF07D4">
        <w:rPr>
          <w:sz w:val="28"/>
          <w:szCs w:val="28"/>
        </w:rPr>
        <w:t>бъект</w:t>
      </w:r>
      <w:r>
        <w:rPr>
          <w:sz w:val="28"/>
          <w:szCs w:val="28"/>
        </w:rPr>
        <w:t>ам</w:t>
      </w:r>
      <w:r w:rsidRPr="00DF07D4">
        <w:rPr>
          <w:sz w:val="28"/>
          <w:szCs w:val="28"/>
        </w:rPr>
        <w:t xml:space="preserve"> автоматизации в системе теплоснабжения</w:t>
      </w:r>
      <w:r>
        <w:rPr>
          <w:sz w:val="28"/>
          <w:szCs w:val="28"/>
        </w:rPr>
        <w:t>?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 Каков объем</w:t>
      </w:r>
      <w:r w:rsidRPr="00DF07D4">
        <w:rPr>
          <w:sz w:val="28"/>
          <w:szCs w:val="28"/>
        </w:rPr>
        <w:t xml:space="preserve"> автоматизации промышленных и квартальных котельных</w:t>
      </w:r>
      <w:r>
        <w:rPr>
          <w:sz w:val="28"/>
          <w:szCs w:val="28"/>
        </w:rPr>
        <w:t>?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 Опишите САУ</w:t>
      </w:r>
      <w:r w:rsidRPr="00DF07D4">
        <w:rPr>
          <w:sz w:val="28"/>
          <w:szCs w:val="28"/>
        </w:rPr>
        <w:t xml:space="preserve"> барабанных котельных агрегатов малой и средней производительности</w:t>
      </w:r>
      <w:r>
        <w:rPr>
          <w:sz w:val="28"/>
          <w:szCs w:val="28"/>
        </w:rPr>
        <w:t>;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 Опишите АСР</w:t>
      </w:r>
      <w:r w:rsidRPr="00DF07D4">
        <w:rPr>
          <w:sz w:val="28"/>
          <w:szCs w:val="28"/>
        </w:rPr>
        <w:t xml:space="preserve"> процесса горения и питания котельных установок</w:t>
      </w:r>
      <w:r>
        <w:rPr>
          <w:sz w:val="28"/>
          <w:szCs w:val="28"/>
        </w:rPr>
        <w:t>;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 Опишите САУ</w:t>
      </w:r>
      <w:r w:rsidRPr="00DF07D4">
        <w:rPr>
          <w:sz w:val="28"/>
          <w:szCs w:val="28"/>
        </w:rPr>
        <w:t xml:space="preserve"> вспомогательного оборудования промышленных котельных; 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 Опишите САУ</w:t>
      </w:r>
      <w:r w:rsidRPr="00DF07D4">
        <w:rPr>
          <w:sz w:val="28"/>
          <w:szCs w:val="28"/>
        </w:rPr>
        <w:t xml:space="preserve"> деаэраторных установок, теплофикационных установок, </w:t>
      </w:r>
      <w:r>
        <w:rPr>
          <w:sz w:val="28"/>
          <w:szCs w:val="28"/>
        </w:rPr>
        <w:t>и</w:t>
      </w:r>
      <w:r w:rsidRPr="00DF07D4">
        <w:rPr>
          <w:sz w:val="28"/>
          <w:szCs w:val="28"/>
        </w:rPr>
        <w:t xml:space="preserve"> систем подготовки топлива</w:t>
      </w:r>
      <w:r>
        <w:rPr>
          <w:sz w:val="28"/>
          <w:szCs w:val="28"/>
        </w:rPr>
        <w:t>;</w:t>
      </w:r>
    </w:p>
    <w:p w:rsidR="00916C66" w:rsidRDefault="00916C66" w:rsidP="00916C6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 В чем особенности системы</w:t>
      </w:r>
      <w:r w:rsidRPr="00DF07D4">
        <w:rPr>
          <w:sz w:val="28"/>
          <w:szCs w:val="28"/>
        </w:rPr>
        <w:t xml:space="preserve"> теплотехнического контроля промышленной котельной</w:t>
      </w:r>
      <w:r>
        <w:rPr>
          <w:sz w:val="28"/>
          <w:szCs w:val="28"/>
        </w:rPr>
        <w:t>?</w:t>
      </w:r>
    </w:p>
    <w:p w:rsidR="00916C66" w:rsidRDefault="00916C66" w:rsidP="00916C66">
      <w:pPr>
        <w:ind w:firstLine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10 В чем преимуществаа</w:t>
      </w:r>
      <w:r w:rsidRPr="00DF07D4">
        <w:rPr>
          <w:sz w:val="28"/>
          <w:szCs w:val="28"/>
        </w:rPr>
        <w:t>втоматическ</w:t>
      </w:r>
      <w:r>
        <w:rPr>
          <w:sz w:val="28"/>
          <w:szCs w:val="28"/>
        </w:rPr>
        <w:t>ой</w:t>
      </w:r>
      <w:r w:rsidRPr="00DF07D4">
        <w:rPr>
          <w:sz w:val="28"/>
          <w:szCs w:val="28"/>
        </w:rPr>
        <w:t xml:space="preserve"> защиты теплоэнергетических установок</w:t>
      </w:r>
      <w:r>
        <w:rPr>
          <w:sz w:val="28"/>
          <w:szCs w:val="28"/>
        </w:rPr>
        <w:t>?</w:t>
      </w:r>
    </w:p>
    <w:p w:rsidR="00916C66" w:rsidRDefault="00916C66" w:rsidP="00916C6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16C66" w:rsidRDefault="00916C66" w:rsidP="00916C66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Рекомендуемые источники</w:t>
      </w:r>
    </w:p>
    <w:p w:rsidR="00916C66" w:rsidRDefault="00916C66" w:rsidP="00916C66">
      <w:pPr>
        <w:ind w:firstLine="720"/>
        <w:jc w:val="both"/>
        <w:rPr>
          <w:i/>
          <w:iCs/>
          <w:sz w:val="28"/>
          <w:szCs w:val="28"/>
        </w:rPr>
      </w:pPr>
    </w:p>
    <w:p w:rsidR="00916C66" w:rsidRPr="0051446F" w:rsidRDefault="00916C66" w:rsidP="00916C66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916C66" w:rsidRPr="0051446F" w:rsidRDefault="00916C66" w:rsidP="00916C66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916C66" w:rsidRPr="0051446F" w:rsidRDefault="00916C66" w:rsidP="00916C66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автоматизации в теплоэнергетике: Учеб. пособие. – М.: Энергоатомиздат, 1982. – 320 с.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916C66"/>
    <w:rsid w:val="00916C66"/>
    <w:rsid w:val="0093149C"/>
    <w:rsid w:val="009F24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C66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1459</Words>
  <Characters>8321</Characters>
  <Application>Microsoft Office Word</Application>
  <DocSecurity>0</DocSecurity>
  <Lines>69</Lines>
  <Paragraphs>19</Paragraphs>
  <ScaleCrop>false</ScaleCrop>
  <Company/>
  <LinksUpToDate>false</LinksUpToDate>
  <CharactersWithSpaces>9761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2020-09-13T09:18:00Z</dcterms:created>
  <dcterms:modified xsi:type="dcterms:W3CDTF">2020-09-13T09:18:00Z</dcterms:modified>
</cp:coreProperties>
</file>